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7338" w:rsidRPr="00706F48" w:rsidRDefault="009A7338" w:rsidP="009A7338">
      <w:pPr>
        <w:pStyle w:val="MDPI11articletype"/>
      </w:pPr>
      <w:r>
        <w:t>Supplementary Materials</w:t>
      </w:r>
    </w:p>
    <w:p w:rsidR="003C5654" w:rsidRPr="00A04B33" w:rsidRDefault="003C5654" w:rsidP="003C5654">
      <w:pPr>
        <w:pStyle w:val="MDPI12title"/>
      </w:pPr>
      <w:r w:rsidRPr="00A04B33">
        <w:t>Multi-Sensor SAR Geodetic Imaging and Modelling of Santorini Volcano Post-Unrest Response</w:t>
      </w:r>
    </w:p>
    <w:p w:rsidR="003C5654" w:rsidRPr="00A04B33" w:rsidRDefault="003C5654" w:rsidP="003C5654">
      <w:pPr>
        <w:pStyle w:val="MDPI13authornames"/>
        <w:rPr>
          <w:lang w:val="it-IT"/>
        </w:rPr>
      </w:pPr>
      <w:r w:rsidRPr="00A04B33">
        <w:rPr>
          <w:lang w:val="it-IT"/>
        </w:rPr>
        <w:t xml:space="preserve">Elena Papageorgiou </w:t>
      </w:r>
      <w:r w:rsidRPr="00A04B33">
        <w:rPr>
          <w:vertAlign w:val="superscript"/>
          <w:lang w:val="it-IT"/>
        </w:rPr>
        <w:t>1</w:t>
      </w:r>
      <w:r w:rsidRPr="00A04B33">
        <w:rPr>
          <w:lang w:val="it-IT"/>
        </w:rPr>
        <w:t xml:space="preserve">, Michael Foumelis </w:t>
      </w:r>
      <w:r w:rsidRPr="00A04B33">
        <w:rPr>
          <w:vertAlign w:val="superscript"/>
          <w:lang w:val="it-IT"/>
        </w:rPr>
        <w:t>2</w:t>
      </w:r>
      <w:r>
        <w:rPr>
          <w:vertAlign w:val="superscript"/>
          <w:lang w:val="it-IT"/>
        </w:rPr>
        <w:t>,</w:t>
      </w:r>
      <w:r w:rsidRPr="00A04B33">
        <w:rPr>
          <w:lang w:val="it-IT"/>
        </w:rPr>
        <w:t xml:space="preserve">*, Elisa Trasatti </w:t>
      </w:r>
      <w:r w:rsidRPr="00A04B33">
        <w:rPr>
          <w:vertAlign w:val="superscript"/>
          <w:lang w:val="it-IT"/>
        </w:rPr>
        <w:t>3</w:t>
      </w:r>
      <w:r w:rsidRPr="00A04B33">
        <w:rPr>
          <w:lang w:val="it-IT"/>
        </w:rPr>
        <w:t xml:space="preserve">, Guido Ventura </w:t>
      </w:r>
      <w:r w:rsidRPr="00A04B33">
        <w:rPr>
          <w:vertAlign w:val="superscript"/>
          <w:lang w:val="it-IT"/>
        </w:rPr>
        <w:t>3</w:t>
      </w:r>
      <w:r w:rsidRPr="00A04B33">
        <w:rPr>
          <w:lang w:val="it-IT"/>
        </w:rPr>
        <w:t xml:space="preserve">, Daniel Raucoules </w:t>
      </w:r>
      <w:r w:rsidRPr="00A04B33">
        <w:rPr>
          <w:vertAlign w:val="superscript"/>
          <w:lang w:val="it-IT"/>
        </w:rPr>
        <w:t>2</w:t>
      </w:r>
      <w:r w:rsidRPr="00A04B33">
        <w:rPr>
          <w:lang w:val="it-IT"/>
        </w:rPr>
        <w:t xml:space="preserve"> and Antonios Mouratidis </w:t>
      </w:r>
      <w:r w:rsidRPr="00A04B33">
        <w:rPr>
          <w:vertAlign w:val="superscript"/>
          <w:lang w:val="it-IT"/>
        </w:rPr>
        <w:t>1</w:t>
      </w:r>
    </w:p>
    <w:p w:rsidR="003C5654" w:rsidRPr="00A04B33" w:rsidRDefault="003C5654" w:rsidP="003C5654">
      <w:pPr>
        <w:pStyle w:val="MDPI16affiliation"/>
      </w:pPr>
      <w:r w:rsidRPr="00A04B33">
        <w:rPr>
          <w:vertAlign w:val="superscript"/>
        </w:rPr>
        <w:t>1</w:t>
      </w:r>
      <w:r w:rsidRPr="00A04B33">
        <w:tab/>
        <w:t>Aristotle University of Thessaloniki (</w:t>
      </w:r>
      <w:proofErr w:type="spellStart"/>
      <w:r w:rsidRPr="00A04B33">
        <w:t>AUTh</w:t>
      </w:r>
      <w:proofErr w:type="spellEnd"/>
      <w:r w:rsidRPr="00A04B33">
        <w:t>), School of Geology, 54124 Thessaloniki, Greece; elenpapageo@geo.auth.gr</w:t>
      </w:r>
      <w:r>
        <w:t xml:space="preserve"> (E.P.);</w:t>
      </w:r>
      <w:r w:rsidRPr="00A04B33">
        <w:t xml:space="preserve"> </w:t>
      </w:r>
      <w:r w:rsidRPr="00A04B33">
        <w:rPr>
          <w:rFonts w:eastAsia="Palatino Linotype" w:cs="Palatino Linotype"/>
        </w:rPr>
        <w:t>amourati@auth.gr</w:t>
      </w:r>
      <w:r>
        <w:rPr>
          <w:rFonts w:eastAsia="Palatino Linotype" w:cs="Palatino Linotype"/>
        </w:rPr>
        <w:t xml:space="preserve"> (A.M.)</w:t>
      </w:r>
    </w:p>
    <w:p w:rsidR="003C5654" w:rsidRPr="00A04B33" w:rsidRDefault="003C5654" w:rsidP="003C5654">
      <w:pPr>
        <w:pStyle w:val="MDPI16affiliation"/>
      </w:pPr>
      <w:r w:rsidRPr="00A04B33">
        <w:rPr>
          <w:szCs w:val="20"/>
          <w:vertAlign w:val="superscript"/>
        </w:rPr>
        <w:t>2</w:t>
      </w:r>
      <w:r w:rsidRPr="00A04B33">
        <w:rPr>
          <w:szCs w:val="20"/>
        </w:rPr>
        <w:tab/>
        <w:t xml:space="preserve">BRGM – French Geological Survey, 3 Claude-Guillemin, 45060 </w:t>
      </w:r>
      <w:proofErr w:type="spellStart"/>
      <w:r w:rsidRPr="00A04B33">
        <w:rPr>
          <w:szCs w:val="20"/>
        </w:rPr>
        <w:t>Orléans</w:t>
      </w:r>
      <w:proofErr w:type="spellEnd"/>
      <w:r w:rsidRPr="00A04B33">
        <w:rPr>
          <w:szCs w:val="20"/>
        </w:rPr>
        <w:t>, France</w:t>
      </w:r>
      <w:r w:rsidRPr="00A04B33">
        <w:t>; d.raucoules@brgm.fr</w:t>
      </w:r>
    </w:p>
    <w:p w:rsidR="003C5654" w:rsidRPr="00A04B33" w:rsidRDefault="003C5654" w:rsidP="003C5654">
      <w:pPr>
        <w:pStyle w:val="MDPI16affiliation"/>
      </w:pPr>
      <w:r w:rsidRPr="00A04B33">
        <w:rPr>
          <w:vertAlign w:val="superscript"/>
        </w:rPr>
        <w:t>3</w:t>
      </w:r>
      <w:r w:rsidRPr="00A04B33">
        <w:tab/>
      </w:r>
      <w:proofErr w:type="spellStart"/>
      <w:r w:rsidRPr="00A04B33">
        <w:t>Istituto</w:t>
      </w:r>
      <w:proofErr w:type="spellEnd"/>
      <w:r w:rsidRPr="00A04B33">
        <w:t xml:space="preserve"> </w:t>
      </w:r>
      <w:proofErr w:type="spellStart"/>
      <w:r w:rsidRPr="00A04B33">
        <w:t>Nazionale</w:t>
      </w:r>
      <w:proofErr w:type="spellEnd"/>
      <w:r w:rsidRPr="00A04B33">
        <w:t xml:space="preserve"> di </w:t>
      </w:r>
      <w:proofErr w:type="spellStart"/>
      <w:r w:rsidRPr="00A04B33">
        <w:t>Geofisica</w:t>
      </w:r>
      <w:proofErr w:type="spellEnd"/>
      <w:r w:rsidRPr="00A04B33">
        <w:t xml:space="preserve"> e </w:t>
      </w:r>
      <w:proofErr w:type="spellStart"/>
      <w:r w:rsidRPr="00A04B33">
        <w:t>Vulcanologia</w:t>
      </w:r>
      <w:proofErr w:type="spellEnd"/>
      <w:r w:rsidRPr="00A04B33">
        <w:t xml:space="preserve"> (INGV), 605 Via di </w:t>
      </w:r>
      <w:proofErr w:type="spellStart"/>
      <w:r w:rsidRPr="00A04B33">
        <w:t>Vigna</w:t>
      </w:r>
      <w:proofErr w:type="spellEnd"/>
      <w:r w:rsidRPr="00A04B33">
        <w:t xml:space="preserve"> Murata, 00143 Roma, Italy; elisa.trasatti@ingv.it</w:t>
      </w:r>
      <w:r>
        <w:t xml:space="preserve"> (E.T.);</w:t>
      </w:r>
      <w:r w:rsidRPr="00A04B33">
        <w:t xml:space="preserve"> guido.ventura@ingv.it </w:t>
      </w:r>
      <w:r>
        <w:t>(G.V.)</w:t>
      </w:r>
    </w:p>
    <w:p w:rsidR="003C5654" w:rsidRPr="00A04B33" w:rsidRDefault="003C5654" w:rsidP="003C5654">
      <w:pPr>
        <w:pStyle w:val="MDPI16affiliation"/>
      </w:pPr>
      <w:r w:rsidRPr="00A04B33">
        <w:rPr>
          <w:b/>
        </w:rPr>
        <w:t>*</w:t>
      </w:r>
      <w:r w:rsidRPr="00A04B33">
        <w:tab/>
        <w:t>Correspondence: m.foumelis@brgm.fr; Tel.: +33-023-868-3226</w:t>
      </w:r>
    </w:p>
    <w:p w:rsidR="003C5654" w:rsidRPr="00A04B33" w:rsidRDefault="003C5654" w:rsidP="003C5654">
      <w:pPr>
        <w:pStyle w:val="MDPI14history"/>
      </w:pPr>
      <w:r>
        <w:t xml:space="preserve">Received: </w:t>
      </w:r>
      <w:r w:rsidRPr="00197845">
        <w:t>25 December 2018</w:t>
      </w:r>
      <w:r w:rsidRPr="00A04B33">
        <w:t xml:space="preserve">; Accepted: </w:t>
      </w:r>
      <w:r w:rsidRPr="00197845">
        <w:t>24 January 2019</w:t>
      </w:r>
      <w:r w:rsidRPr="00A04B33">
        <w:t xml:space="preserve">; Published: </w:t>
      </w:r>
      <w:r w:rsidRPr="00197845">
        <w:t>2</w:t>
      </w:r>
      <w:r>
        <w:t>8</w:t>
      </w:r>
      <w:r w:rsidRPr="00197845">
        <w:t xml:space="preserve"> January 2019</w:t>
      </w:r>
    </w:p>
    <w:p w:rsidR="009A7338" w:rsidRPr="00A33F4F" w:rsidRDefault="009A7338" w:rsidP="009A7338">
      <w:pPr>
        <w:pStyle w:val="MDPI17abstract"/>
        <w:rPr>
          <w:color w:val="auto"/>
        </w:rPr>
      </w:pPr>
      <w:r w:rsidRPr="007700B9">
        <w:rPr>
          <w:b/>
          <w:color w:val="auto"/>
        </w:rPr>
        <w:t xml:space="preserve">Abstract: </w:t>
      </w:r>
      <w:r w:rsidR="00C918B6" w:rsidRPr="007700B9">
        <w:rPr>
          <w:rFonts w:cstheme="minorHAnsi"/>
          <w:color w:val="auto"/>
          <w:szCs w:val="20"/>
          <w:lang w:val="en-GB"/>
        </w:rPr>
        <w:t xml:space="preserve">Volcanic history of Santorini over the past years records a </w:t>
      </w:r>
      <w:proofErr w:type="spellStart"/>
      <w:r w:rsidR="00C918B6" w:rsidRPr="007700B9">
        <w:rPr>
          <w:rFonts w:cstheme="minorHAnsi"/>
          <w:color w:val="auto"/>
          <w:szCs w:val="20"/>
          <w:lang w:val="en-GB"/>
        </w:rPr>
        <w:t>seism</w:t>
      </w:r>
      <w:r w:rsidR="00C918B6">
        <w:rPr>
          <w:rFonts w:cstheme="minorHAnsi"/>
          <w:color w:val="auto"/>
          <w:szCs w:val="20"/>
          <w:lang w:val="en-GB"/>
        </w:rPr>
        <w:t>o</w:t>
      </w:r>
      <w:proofErr w:type="spellEnd"/>
      <w:r w:rsidR="00C918B6" w:rsidRPr="007700B9">
        <w:rPr>
          <w:rFonts w:cstheme="minorHAnsi"/>
          <w:color w:val="auto"/>
          <w:szCs w:val="20"/>
          <w:lang w:val="en-GB"/>
        </w:rPr>
        <w:t xml:space="preserve">-volcanic unrest in 2011-2012 with a non-eruptive behaviour. </w:t>
      </w:r>
      <w:r w:rsidR="00C918B6" w:rsidRPr="00B44FD4">
        <w:rPr>
          <w:rFonts w:cstheme="minorHAnsi"/>
          <w:color w:val="auto"/>
          <w:szCs w:val="20"/>
          <w:lang w:val="en-GB"/>
        </w:rPr>
        <w:t xml:space="preserve">The volcano deformation state following the unrest was investigated </w:t>
      </w:r>
      <w:r w:rsidR="008A7369" w:rsidRPr="007700B9">
        <w:rPr>
          <w:rFonts w:cstheme="minorHAnsi"/>
          <w:color w:val="auto"/>
          <w:szCs w:val="20"/>
        </w:rPr>
        <w:t>analysis of Copernicus Sentinel-1</w:t>
      </w:r>
      <w:r w:rsidR="008A7369">
        <w:rPr>
          <w:rFonts w:cstheme="minorHAnsi"/>
          <w:color w:val="auto"/>
          <w:szCs w:val="20"/>
        </w:rPr>
        <w:t xml:space="preserve">, </w:t>
      </w:r>
      <w:r w:rsidR="008A7369" w:rsidRPr="007700B9">
        <w:rPr>
          <w:rFonts w:cstheme="minorHAnsi"/>
          <w:color w:val="auto"/>
          <w:szCs w:val="20"/>
        </w:rPr>
        <w:t xml:space="preserve">Radarsat-2 </w:t>
      </w:r>
      <w:r w:rsidR="008A7369">
        <w:rPr>
          <w:rFonts w:cstheme="minorHAnsi"/>
          <w:color w:val="auto"/>
          <w:szCs w:val="20"/>
        </w:rPr>
        <w:t xml:space="preserve">and </w:t>
      </w:r>
      <w:proofErr w:type="spellStart"/>
      <w:r w:rsidR="008A7369">
        <w:rPr>
          <w:rFonts w:cstheme="minorHAnsi"/>
          <w:color w:val="auto"/>
          <w:szCs w:val="20"/>
        </w:rPr>
        <w:t>TerraSAR</w:t>
      </w:r>
      <w:proofErr w:type="spellEnd"/>
      <w:r w:rsidR="008A7369">
        <w:rPr>
          <w:rFonts w:cstheme="minorHAnsi"/>
          <w:color w:val="auto"/>
          <w:szCs w:val="20"/>
        </w:rPr>
        <w:t xml:space="preserve">-X Multi-temporal SAR </w:t>
      </w:r>
      <w:proofErr w:type="spellStart"/>
      <w:r w:rsidR="008A7369">
        <w:rPr>
          <w:rFonts w:cstheme="minorHAnsi"/>
          <w:color w:val="auto"/>
          <w:szCs w:val="20"/>
        </w:rPr>
        <w:t>Interferometric</w:t>
      </w:r>
      <w:proofErr w:type="spellEnd"/>
      <w:r w:rsidR="008A7369">
        <w:rPr>
          <w:rFonts w:cstheme="minorHAnsi"/>
          <w:color w:val="auto"/>
          <w:szCs w:val="20"/>
        </w:rPr>
        <w:t xml:space="preserve"> (MT-</w:t>
      </w:r>
      <w:proofErr w:type="spellStart"/>
      <w:r w:rsidR="008A7369">
        <w:rPr>
          <w:rFonts w:cstheme="minorHAnsi"/>
          <w:color w:val="auto"/>
          <w:szCs w:val="20"/>
        </w:rPr>
        <w:t>InSAR</w:t>
      </w:r>
      <w:proofErr w:type="spellEnd"/>
      <w:r w:rsidR="008A7369">
        <w:rPr>
          <w:rFonts w:cstheme="minorHAnsi"/>
          <w:color w:val="auto"/>
          <w:szCs w:val="20"/>
        </w:rPr>
        <w:t xml:space="preserve">) results, </w:t>
      </w:r>
      <w:r w:rsidR="008A7369" w:rsidRPr="007700B9">
        <w:rPr>
          <w:rFonts w:cstheme="minorHAnsi"/>
          <w:color w:val="auto"/>
          <w:szCs w:val="20"/>
        </w:rPr>
        <w:t xml:space="preserve">for the post-unrest period 2012-2017. Data from multiple </w:t>
      </w:r>
      <w:r w:rsidR="008A7369">
        <w:rPr>
          <w:rFonts w:cstheme="minorHAnsi"/>
          <w:color w:val="auto"/>
          <w:szCs w:val="20"/>
        </w:rPr>
        <w:t xml:space="preserve">Sentinel-1 </w:t>
      </w:r>
      <w:r w:rsidR="008A7369" w:rsidRPr="007700B9">
        <w:rPr>
          <w:rFonts w:cstheme="minorHAnsi"/>
          <w:color w:val="auto"/>
          <w:szCs w:val="20"/>
        </w:rPr>
        <w:t xml:space="preserve">tracks and acquisition geometries were used to constrain the E-W and vertical components of the deformation field along with their evolution in time. The interpretation of the </w:t>
      </w:r>
      <w:proofErr w:type="spellStart"/>
      <w:r w:rsidR="008A7369" w:rsidRPr="007700B9">
        <w:rPr>
          <w:rFonts w:cstheme="minorHAnsi"/>
          <w:color w:val="auto"/>
          <w:szCs w:val="20"/>
        </w:rPr>
        <w:t>InSAR</w:t>
      </w:r>
      <w:proofErr w:type="spellEnd"/>
      <w:r w:rsidR="008A7369" w:rsidRPr="007700B9">
        <w:rPr>
          <w:rFonts w:cstheme="minorHAnsi"/>
          <w:color w:val="auto"/>
          <w:szCs w:val="20"/>
        </w:rPr>
        <w:t xml:space="preserve"> observations and model</w:t>
      </w:r>
      <w:r w:rsidR="008A7369">
        <w:rPr>
          <w:rFonts w:cstheme="minorHAnsi"/>
          <w:color w:val="auto"/>
          <w:szCs w:val="20"/>
        </w:rPr>
        <w:t>l</w:t>
      </w:r>
      <w:r w:rsidR="008A7369" w:rsidRPr="007700B9">
        <w:rPr>
          <w:rFonts w:cstheme="minorHAnsi"/>
          <w:color w:val="auto"/>
          <w:szCs w:val="20"/>
        </w:rPr>
        <w:t xml:space="preserve">ing provided insights on the </w:t>
      </w:r>
      <w:r w:rsidR="008A7369">
        <w:rPr>
          <w:rFonts w:cstheme="minorHAnsi"/>
          <w:color w:val="auto"/>
          <w:szCs w:val="20"/>
        </w:rPr>
        <w:t>post-unrest</w:t>
      </w:r>
      <w:r w:rsidR="008A7369" w:rsidRPr="007700B9">
        <w:rPr>
          <w:rFonts w:cstheme="minorHAnsi"/>
          <w:color w:val="auto"/>
          <w:szCs w:val="20"/>
        </w:rPr>
        <w:t xml:space="preserve"> deformation pattern of the volcano, allowing </w:t>
      </w:r>
      <w:r w:rsidR="008A7369">
        <w:rPr>
          <w:rFonts w:cstheme="minorHAnsi"/>
          <w:color w:val="auto"/>
          <w:szCs w:val="20"/>
        </w:rPr>
        <w:t>the</w:t>
      </w:r>
      <w:r w:rsidR="008A7369" w:rsidRPr="007700B9">
        <w:rPr>
          <w:rFonts w:cstheme="minorHAnsi"/>
          <w:color w:val="auto"/>
          <w:szCs w:val="20"/>
        </w:rPr>
        <w:t xml:space="preserve"> further </w:t>
      </w:r>
      <w:r w:rsidR="008A7369">
        <w:rPr>
          <w:rFonts w:cstheme="minorHAnsi"/>
          <w:color w:val="auto"/>
          <w:szCs w:val="20"/>
        </w:rPr>
        <w:t>re-evaluation of</w:t>
      </w:r>
      <w:r w:rsidR="008A7369" w:rsidRPr="007700B9">
        <w:rPr>
          <w:rFonts w:cstheme="minorHAnsi"/>
          <w:color w:val="auto"/>
          <w:szCs w:val="20"/>
        </w:rPr>
        <w:t xml:space="preserve"> the unrest event. The increase of subsidence rates on </w:t>
      </w:r>
      <w:proofErr w:type="spellStart"/>
      <w:proofErr w:type="gramStart"/>
      <w:r w:rsidR="008A7369" w:rsidRPr="007700B9">
        <w:rPr>
          <w:rFonts w:cstheme="minorHAnsi"/>
          <w:color w:val="auto"/>
          <w:szCs w:val="20"/>
        </w:rPr>
        <w:t>Nea</w:t>
      </w:r>
      <w:proofErr w:type="spellEnd"/>
      <w:proofErr w:type="gramEnd"/>
      <w:r w:rsidR="008A7369" w:rsidRPr="007700B9">
        <w:rPr>
          <w:rFonts w:cstheme="minorHAnsi"/>
          <w:color w:val="auto"/>
          <w:szCs w:val="20"/>
        </w:rPr>
        <w:t xml:space="preserve"> </w:t>
      </w:r>
      <w:proofErr w:type="spellStart"/>
      <w:r w:rsidR="008A7369" w:rsidRPr="007700B9">
        <w:rPr>
          <w:rFonts w:cstheme="minorHAnsi"/>
          <w:color w:val="auto"/>
          <w:szCs w:val="20"/>
        </w:rPr>
        <w:t>Kameni</w:t>
      </w:r>
      <w:proofErr w:type="spellEnd"/>
      <w:r w:rsidR="008A7369" w:rsidRPr="007700B9">
        <w:rPr>
          <w:rFonts w:cstheme="minorHAnsi"/>
          <w:color w:val="auto"/>
          <w:szCs w:val="20"/>
        </w:rPr>
        <w:t>, in accordance with the observed change of the spatial deformation pattern, compared to the pre-unrest period, suggest</w:t>
      </w:r>
      <w:r w:rsidR="008A7369">
        <w:rPr>
          <w:rFonts w:cstheme="minorHAnsi"/>
          <w:color w:val="auto"/>
          <w:szCs w:val="20"/>
        </w:rPr>
        <w:t>s</w:t>
      </w:r>
      <w:r w:rsidR="008A7369" w:rsidRPr="007700B9">
        <w:rPr>
          <w:rFonts w:cstheme="minorHAnsi"/>
          <w:color w:val="auto"/>
          <w:szCs w:val="20"/>
        </w:rPr>
        <w:t xml:space="preserve"> the superimposition of various deformation sources. Best</w:t>
      </w:r>
      <w:r w:rsidR="008A7369">
        <w:rPr>
          <w:rFonts w:cstheme="minorHAnsi"/>
          <w:color w:val="auto"/>
          <w:szCs w:val="20"/>
        </w:rPr>
        <w:t>-</w:t>
      </w:r>
      <w:r w:rsidR="008A7369" w:rsidRPr="007700B9">
        <w:rPr>
          <w:rFonts w:cstheme="minorHAnsi"/>
          <w:color w:val="auto"/>
          <w:szCs w:val="20"/>
        </w:rPr>
        <w:t xml:space="preserve">fitting inversion results </w:t>
      </w:r>
      <w:r w:rsidR="008A7369">
        <w:rPr>
          <w:rFonts w:cstheme="minorHAnsi"/>
          <w:color w:val="auto"/>
          <w:szCs w:val="20"/>
        </w:rPr>
        <w:t>indicate</w:t>
      </w:r>
      <w:r w:rsidR="008A7369" w:rsidRPr="007700B9">
        <w:rPr>
          <w:rFonts w:cstheme="minorHAnsi"/>
          <w:color w:val="auto"/>
          <w:szCs w:val="20"/>
        </w:rPr>
        <w:t xml:space="preserve"> two </w:t>
      </w:r>
      <w:r w:rsidR="008A7369">
        <w:rPr>
          <w:rFonts w:cstheme="minorHAnsi"/>
          <w:color w:val="auto"/>
          <w:szCs w:val="20"/>
        </w:rPr>
        <w:t>deflation</w:t>
      </w:r>
      <w:r w:rsidR="008A7369" w:rsidRPr="007700B9">
        <w:rPr>
          <w:rFonts w:cstheme="minorHAnsi"/>
          <w:color w:val="auto"/>
          <w:szCs w:val="20"/>
        </w:rPr>
        <w:t xml:space="preserve"> sources</w:t>
      </w:r>
      <w:r w:rsidR="008A7369" w:rsidRPr="008F790C">
        <w:rPr>
          <w:rFonts w:cstheme="minorHAnsi"/>
          <w:color w:val="auto"/>
          <w:szCs w:val="20"/>
        </w:rPr>
        <w:t xml:space="preserve"> located </w:t>
      </w:r>
      <w:r w:rsidR="008A7369">
        <w:rPr>
          <w:rFonts w:cstheme="minorHAnsi"/>
          <w:color w:val="auto"/>
          <w:szCs w:val="20"/>
        </w:rPr>
        <w:t>at</w:t>
      </w:r>
      <w:r w:rsidR="008A7369" w:rsidRPr="008F790C">
        <w:rPr>
          <w:rFonts w:cstheme="minorHAnsi"/>
          <w:color w:val="auto"/>
          <w:szCs w:val="20"/>
        </w:rPr>
        <w:t xml:space="preserve"> south-western </w:t>
      </w:r>
      <w:proofErr w:type="spellStart"/>
      <w:proofErr w:type="gramStart"/>
      <w:r w:rsidR="008A7369" w:rsidRPr="008F790C">
        <w:rPr>
          <w:rFonts w:cstheme="minorHAnsi"/>
          <w:color w:val="auto"/>
          <w:szCs w:val="20"/>
        </w:rPr>
        <w:t>Nea</w:t>
      </w:r>
      <w:proofErr w:type="spellEnd"/>
      <w:proofErr w:type="gramEnd"/>
      <w:r w:rsidR="008A7369" w:rsidRPr="008F790C">
        <w:rPr>
          <w:rFonts w:cstheme="minorHAnsi"/>
          <w:color w:val="auto"/>
          <w:szCs w:val="20"/>
        </w:rPr>
        <w:t xml:space="preserve"> </w:t>
      </w:r>
      <w:proofErr w:type="spellStart"/>
      <w:r w:rsidR="008A7369" w:rsidRPr="008F790C">
        <w:rPr>
          <w:rFonts w:cstheme="minorHAnsi"/>
          <w:color w:val="auto"/>
          <w:szCs w:val="20"/>
        </w:rPr>
        <w:t>Kameni</w:t>
      </w:r>
      <w:proofErr w:type="spellEnd"/>
      <w:r w:rsidR="008A7369" w:rsidRPr="008F790C">
        <w:rPr>
          <w:rFonts w:cstheme="minorHAnsi"/>
          <w:color w:val="auto"/>
          <w:szCs w:val="20"/>
        </w:rPr>
        <w:t xml:space="preserve"> </w:t>
      </w:r>
      <w:r w:rsidR="008A7369">
        <w:rPr>
          <w:rFonts w:cstheme="minorHAnsi"/>
          <w:color w:val="auto"/>
          <w:szCs w:val="20"/>
        </w:rPr>
        <w:t xml:space="preserve">at </w:t>
      </w:r>
      <w:r w:rsidR="008A7369" w:rsidRPr="008F790C">
        <w:rPr>
          <w:rFonts w:cstheme="minorHAnsi"/>
          <w:color w:val="auto"/>
          <w:szCs w:val="20"/>
        </w:rPr>
        <w:t>1 km depth</w:t>
      </w:r>
      <w:r w:rsidR="008A7369">
        <w:rPr>
          <w:rFonts w:cstheme="minorHAnsi"/>
          <w:color w:val="auto"/>
          <w:szCs w:val="20"/>
        </w:rPr>
        <w:t>,</w:t>
      </w:r>
      <w:r w:rsidR="008A7369" w:rsidRPr="008F790C">
        <w:rPr>
          <w:rFonts w:cstheme="minorHAnsi"/>
          <w:color w:val="auto"/>
          <w:szCs w:val="20"/>
        </w:rPr>
        <w:t xml:space="preserve"> and </w:t>
      </w:r>
      <w:r w:rsidR="008A7369">
        <w:rPr>
          <w:rFonts w:cstheme="minorHAnsi"/>
          <w:color w:val="auto"/>
          <w:szCs w:val="20"/>
        </w:rPr>
        <w:t>in</w:t>
      </w:r>
      <w:r w:rsidR="008A7369" w:rsidRPr="008F790C">
        <w:rPr>
          <w:rFonts w:cstheme="minorHAnsi"/>
          <w:color w:val="auto"/>
          <w:szCs w:val="20"/>
        </w:rPr>
        <w:t xml:space="preserve"> the northern</w:t>
      </w:r>
      <w:r w:rsidR="008A7369">
        <w:rPr>
          <w:rFonts w:cstheme="minorHAnsi"/>
          <w:color w:val="auto"/>
          <w:szCs w:val="20"/>
        </w:rPr>
        <w:t xml:space="preserve"> intra-caldera area at 2 km depth</w:t>
      </w:r>
      <w:r w:rsidR="008A7369" w:rsidRPr="001721BC">
        <w:rPr>
          <w:rFonts w:cstheme="minorHAnsi"/>
          <w:color w:val="auto"/>
          <w:szCs w:val="20"/>
        </w:rPr>
        <w:t xml:space="preserve">. A northern sill-like source interprets the post-unrest deflation attributed to </w:t>
      </w:r>
      <w:r w:rsidR="008A7369" w:rsidRPr="001721BC">
        <w:rPr>
          <w:color w:val="auto"/>
        </w:rPr>
        <w:t>the passive degassing of the magma intruded at 4 km during the unrest</w:t>
      </w:r>
      <w:r w:rsidR="008A7369" w:rsidRPr="001721BC">
        <w:rPr>
          <w:rFonts w:cstheme="minorHAnsi"/>
          <w:color w:val="auto"/>
          <w:szCs w:val="20"/>
          <w:lang w:val="en-GB"/>
        </w:rPr>
        <w:t>, while a</w:t>
      </w:r>
      <w:r w:rsidR="00F76DC5">
        <w:rPr>
          <w:rFonts w:cstheme="minorHAnsi"/>
          <w:color w:val="auto"/>
          <w:szCs w:val="20"/>
          <w:lang w:val="en-GB"/>
        </w:rPr>
        <w:t>n isotropic</w:t>
      </w:r>
      <w:r w:rsidR="008A7369" w:rsidRPr="001721BC">
        <w:rPr>
          <w:rFonts w:cstheme="minorHAnsi"/>
          <w:color w:val="auto"/>
          <w:szCs w:val="20"/>
          <w:lang w:val="en-GB"/>
        </w:rPr>
        <w:t xml:space="preserve"> source </w:t>
      </w:r>
      <w:r w:rsidR="00F76DC5">
        <w:rPr>
          <w:rFonts w:cstheme="minorHAnsi"/>
          <w:color w:val="auto"/>
          <w:szCs w:val="20"/>
          <w:lang w:val="en-GB"/>
        </w:rPr>
        <w:t>at</w:t>
      </w:r>
      <w:r w:rsidR="00F76DC5" w:rsidRPr="001721BC">
        <w:rPr>
          <w:rFonts w:cstheme="minorHAnsi"/>
          <w:color w:val="auto"/>
          <w:szCs w:val="20"/>
          <w:lang w:val="en-GB"/>
        </w:rPr>
        <w:t xml:space="preserve"> </w:t>
      </w:r>
      <w:proofErr w:type="spellStart"/>
      <w:proofErr w:type="gramStart"/>
      <w:r w:rsidR="008A7369" w:rsidRPr="001721BC">
        <w:rPr>
          <w:rFonts w:cstheme="minorHAnsi"/>
          <w:color w:val="auto"/>
          <w:szCs w:val="20"/>
          <w:lang w:val="en-GB"/>
        </w:rPr>
        <w:t>Nea</w:t>
      </w:r>
      <w:proofErr w:type="spellEnd"/>
      <w:proofErr w:type="gramEnd"/>
      <w:r w:rsidR="008A7369" w:rsidRPr="001721BC">
        <w:rPr>
          <w:rFonts w:cstheme="minorHAnsi"/>
          <w:color w:val="auto"/>
          <w:szCs w:val="20"/>
          <w:lang w:val="en-GB"/>
        </w:rPr>
        <w:t xml:space="preserve"> </w:t>
      </w:r>
      <w:proofErr w:type="spellStart"/>
      <w:r w:rsidR="008A7369" w:rsidRPr="001721BC">
        <w:rPr>
          <w:rFonts w:cstheme="minorHAnsi"/>
          <w:color w:val="auto"/>
          <w:szCs w:val="20"/>
          <w:lang w:val="en-GB"/>
        </w:rPr>
        <w:t>Kameni</w:t>
      </w:r>
      <w:proofErr w:type="spellEnd"/>
      <w:r w:rsidR="008A7369" w:rsidRPr="001721BC">
        <w:rPr>
          <w:rFonts w:cstheme="minorHAnsi"/>
          <w:color w:val="auto"/>
          <w:szCs w:val="20"/>
          <w:lang w:val="en-GB"/>
        </w:rPr>
        <w:t xml:space="preserve"> </w:t>
      </w:r>
      <w:r w:rsidR="00F76DC5">
        <w:rPr>
          <w:rFonts w:cstheme="minorHAnsi"/>
          <w:color w:val="auto"/>
          <w:szCs w:val="20"/>
          <w:lang w:val="en-GB"/>
        </w:rPr>
        <w:t>simulates</w:t>
      </w:r>
      <w:r w:rsidR="00F76DC5" w:rsidRPr="001721BC">
        <w:rPr>
          <w:rFonts w:cstheme="minorHAnsi"/>
          <w:color w:val="auto"/>
          <w:szCs w:val="20"/>
          <w:lang w:val="en-GB"/>
        </w:rPr>
        <w:t xml:space="preserve"> </w:t>
      </w:r>
      <w:r w:rsidR="008A7369" w:rsidRPr="001721BC">
        <w:rPr>
          <w:rFonts w:cstheme="minorHAnsi"/>
          <w:color w:val="auto"/>
          <w:szCs w:val="20"/>
          <w:lang w:val="en-GB"/>
        </w:rPr>
        <w:t>a prevailing subsidence</w:t>
      </w:r>
      <w:r w:rsidR="008A7369" w:rsidRPr="001721BC">
        <w:rPr>
          <w:rFonts w:cstheme="minorHAnsi"/>
          <w:color w:val="auto"/>
          <w:szCs w:val="20"/>
        </w:rPr>
        <w:t xml:space="preserve"> occurring since the pre-unrest period (1992</w:t>
      </w:r>
      <w:r w:rsidR="003C5654">
        <w:rPr>
          <w:rFonts w:cstheme="minorHAnsi"/>
          <w:color w:val="auto"/>
          <w:szCs w:val="20"/>
        </w:rPr>
        <w:t>–</w:t>
      </w:r>
      <w:r w:rsidR="008A7369" w:rsidRPr="001721BC">
        <w:rPr>
          <w:rFonts w:cstheme="minorHAnsi"/>
          <w:color w:val="auto"/>
          <w:szCs w:val="20"/>
        </w:rPr>
        <w:t>2010)</w:t>
      </w:r>
      <w:r w:rsidR="00C918B6" w:rsidRPr="00A33F4F">
        <w:rPr>
          <w:color w:val="auto"/>
          <w:szCs w:val="20"/>
        </w:rPr>
        <w:t>.</w:t>
      </w:r>
    </w:p>
    <w:p w:rsidR="009A7338" w:rsidRDefault="009A7338">
      <w:pP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</w:pPr>
    </w:p>
    <w:p w:rsidR="009A7338" w:rsidRDefault="009A7338">
      <w:pP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</w:pPr>
      <w:r w:rsidRPr="009A7338">
        <w:rPr>
          <w:rFonts w:ascii="Palatino Linotype" w:eastAsia="Times New Roman" w:hAnsi="Palatino Linotype" w:cstheme="minorHAnsi"/>
          <w:b/>
          <w:sz w:val="20"/>
          <w:szCs w:val="20"/>
          <w:lang w:val="en-US" w:eastAsia="de-DE" w:bidi="en-US"/>
        </w:rPr>
        <w:t>Text 1</w:t>
      </w:r>
      <w:r>
        <w:rPr>
          <w:rFonts w:ascii="Palatino Linotype" w:eastAsia="Times New Roman" w:hAnsi="Palatino Linotype" w:cstheme="minorHAnsi"/>
          <w:sz w:val="20"/>
          <w:szCs w:val="20"/>
          <w:lang w:val="en-US" w:eastAsia="de-DE" w:bidi="en-US"/>
        </w:rPr>
        <w:t xml:space="preserve">. </w:t>
      </w:r>
      <w:r w:rsidRPr="009A7338">
        <w:rPr>
          <w:rFonts w:ascii="Palatino Linotype" w:eastAsia="Times New Roman" w:hAnsi="Palatino Linotype" w:cstheme="minorHAnsi"/>
          <w:sz w:val="20"/>
          <w:szCs w:val="20"/>
          <w:lang w:val="en-US" w:eastAsia="de-DE" w:bidi="en-US"/>
        </w:rPr>
        <w:t>Supplementary materials of the manuscript.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436676" w:rsidTr="0094249D">
        <w:trPr>
          <w:jc w:val="center"/>
        </w:trPr>
        <w:tc>
          <w:tcPr>
            <w:tcW w:w="9060" w:type="dxa"/>
          </w:tcPr>
          <w:p w:rsidR="00436676" w:rsidRDefault="00436676" w:rsidP="0094249D">
            <w:pPr>
              <w:jc w:val="center"/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  <w:lang w:val="en-US" w:eastAsia="de-DE" w:bidi="en-US"/>
              </w:rPr>
            </w:pPr>
            <w:r w:rsidRPr="00F87D56">
              <w:rPr>
                <w:rFonts w:ascii="Palatino Linotype" w:eastAsia="Times New Roman" w:hAnsi="Palatino Linotype" w:cs="Times New Roman"/>
                <w:noProof/>
                <w:color w:val="000000"/>
                <w:sz w:val="18"/>
                <w:szCs w:val="20"/>
                <w:lang w:val="en-US" w:eastAsia="zh-CN"/>
              </w:rPr>
              <w:drawing>
                <wp:inline distT="0" distB="0" distL="0" distR="0">
                  <wp:extent cx="5274310" cy="1139825"/>
                  <wp:effectExtent l="19050" t="0" r="2540" b="0"/>
                  <wp:docPr id="48" name="Picture 8" descr="Fig_S1_Baselines_Plot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g_S1_Baselines_Plot.tif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13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6676" w:rsidRDefault="00436676" w:rsidP="00436676">
      <w:pPr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</w:pP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Figure S1</w:t>
      </w:r>
      <w:r w:rsidRPr="00AD162C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.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 xml:space="preserve"> </w:t>
      </w:r>
      <w:r w:rsidRPr="00AF3F05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Temporal separation</w:t>
      </w:r>
      <w:r w:rsidRPr="00820A12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versus 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normal </w:t>
      </w:r>
      <w:r w:rsidRPr="00820A12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baseline plots displaying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 xml:space="preserve"> </w:t>
      </w:r>
      <w:r w:rsidRPr="00AF3F05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the </w:t>
      </w:r>
      <w:proofErr w:type="spellStart"/>
      <w:r w:rsidRPr="00AF3F05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InSAR</w:t>
      </w:r>
      <w:proofErr w:type="spellEnd"/>
      <w:r w:rsidRPr="00AF3F05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pairs (connecting lines) </w:t>
      </w:r>
      <w:r w:rsidRPr="00AF3F05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considered in the 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MT-</w:t>
      </w:r>
      <w:proofErr w:type="spellStart"/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InSAR</w:t>
      </w:r>
      <w:proofErr w:type="spellEnd"/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</w:t>
      </w:r>
      <w:r w:rsidRPr="00AF3F05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processing.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Sentinel-1 scenes in blue color were not considered in the solutions.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436676" w:rsidTr="0094249D">
        <w:trPr>
          <w:jc w:val="center"/>
        </w:trPr>
        <w:tc>
          <w:tcPr>
            <w:tcW w:w="9060" w:type="dxa"/>
          </w:tcPr>
          <w:p w:rsidR="00436676" w:rsidRDefault="00436676" w:rsidP="0094249D">
            <w:pPr>
              <w:jc w:val="center"/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  <w:lang w:val="en-US" w:eastAsia="de-DE" w:bidi="en-US"/>
              </w:rPr>
            </w:pPr>
            <w:r w:rsidRPr="00F87D56">
              <w:rPr>
                <w:rFonts w:ascii="Palatino Linotype" w:eastAsia="Times New Roman" w:hAnsi="Palatino Linotype" w:cs="Times New Roman"/>
                <w:noProof/>
                <w:color w:val="000000"/>
                <w:sz w:val="18"/>
                <w:szCs w:val="20"/>
                <w:lang w:val="en-US" w:eastAsia="zh-CN"/>
              </w:rPr>
              <w:lastRenderedPageBreak/>
              <w:drawing>
                <wp:inline distT="0" distB="0" distL="0" distR="0">
                  <wp:extent cx="4762500" cy="1777018"/>
                  <wp:effectExtent l="0" t="0" r="0" b="0"/>
                  <wp:docPr id="49" name="Picture 14" descr="Figure S2_RemSens_PSI_LOS_Errors_300dp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gure S2_RemSens_PSI_LOS_Errors_300dpi.pn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2834" cy="1784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6676" w:rsidRDefault="00436676" w:rsidP="00436676">
      <w:pPr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</w:pP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Figure S2</w:t>
      </w:r>
      <w:r w:rsidRPr="00AD162C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.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 xml:space="preserve"> </w:t>
      </w:r>
      <w:r w:rsidR="00307170" w:rsidRPr="00307170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Sentinel-1</w:t>
      </w:r>
      <w:r w:rsidR="00307170" w:rsidRPr="00307170">
        <w:rPr>
          <w:sz w:val="18"/>
          <w:szCs w:val="20"/>
          <w:lang w:val="en-US"/>
        </w:rPr>
        <w:t xml:space="preserve"> 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MT-</w:t>
      </w:r>
      <w:proofErr w:type="spellStart"/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InSAR</w:t>
      </w:r>
      <w:proofErr w:type="spellEnd"/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LOS displacement rate </w:t>
      </w:r>
      <w:r w:rsidR="00307170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uncertainties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</w:t>
      </w:r>
      <w:r w:rsidR="00C630C8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for </w:t>
      </w:r>
      <w:r w:rsidRPr="00AD162C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(</w:t>
      </w:r>
      <w:r w:rsidRPr="004779DF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a</w:t>
      </w:r>
      <w:r w:rsidRPr="00AD162C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) 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Ascending orbit 029; </w:t>
      </w:r>
      <w:r w:rsidRPr="00AD162C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(</w:t>
      </w:r>
      <w:r w:rsidRPr="004779DF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b</w:t>
      </w:r>
      <w:r w:rsidRPr="00AD162C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)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Descending orbit 109; (</w:t>
      </w:r>
      <w:r w:rsidRPr="004779DF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c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) Descending orbit 036. </w:t>
      </w:r>
      <w:r w:rsidR="00CA5322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Uncertainties of estimated rates (see Figure 3) </w:t>
      </w:r>
      <w:r w:rsidRPr="004779DF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are given relative to the reference point, marked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</w:t>
      </w:r>
      <w:r w:rsidRPr="004779DF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by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</w:t>
      </w:r>
      <w:r w:rsidRPr="004779DF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a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</w:t>
      </w:r>
      <w:r w:rsidR="00223AF2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rectangle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. </w:t>
      </w:r>
      <w:r w:rsidR="00307170" w:rsidRPr="00307170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The line-of-sight and azimuth directions of the satellite are displayed by blue and black arrows, respectively. Values in degrees correspond to the incidence angles.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F47493" w:rsidTr="008E3CA1">
        <w:trPr>
          <w:jc w:val="center"/>
        </w:trPr>
        <w:tc>
          <w:tcPr>
            <w:tcW w:w="9060" w:type="dxa"/>
          </w:tcPr>
          <w:p w:rsidR="00F47493" w:rsidRDefault="00F47493" w:rsidP="008E3CA1">
            <w:pPr>
              <w:jc w:val="center"/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  <w:lang w:val="en-US" w:eastAsia="de-DE" w:bidi="en-US"/>
              </w:rPr>
            </w:pPr>
            <w:r w:rsidRPr="00B24BC3">
              <w:rPr>
                <w:rFonts w:ascii="Palatino Linotype" w:eastAsia="Times New Roman" w:hAnsi="Palatino Linotype" w:cs="Times New Roman"/>
                <w:noProof/>
                <w:color w:val="000000"/>
                <w:sz w:val="18"/>
                <w:szCs w:val="20"/>
                <w:lang w:val="en-US" w:eastAsia="zh-CN"/>
              </w:rPr>
              <w:drawing>
                <wp:inline distT="0" distB="0" distL="0" distR="0">
                  <wp:extent cx="3752850" cy="5095052"/>
                  <wp:effectExtent l="0" t="0" r="0" b="0"/>
                  <wp:docPr id="2" name="Picture 13" descr="Figure_S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gure_S3.pn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0006" cy="5104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7493" w:rsidRPr="00053D11" w:rsidRDefault="00F47493" w:rsidP="00F47493">
      <w:pPr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</w:pP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Figure S3</w:t>
      </w:r>
      <w:r w:rsidRPr="00AD162C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.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 xml:space="preserve"> </w:t>
      </w:r>
      <w:r w:rsidRPr="00DD2418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Comparison between subsampled data (first column) and modeled data (second column) for the single source model of the post-unrest. The third column reports the residuals (observed data minus modeled data). (</w:t>
      </w:r>
      <w:proofErr w:type="gramStart"/>
      <w:r w:rsidRPr="00DD2418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a-c</w:t>
      </w:r>
      <w:proofErr w:type="gramEnd"/>
      <w:r w:rsidRPr="00DD2418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) Ascending orbit track 029 (a029); (</w:t>
      </w:r>
      <w:r w:rsidRPr="00DD2418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d-f</w:t>
      </w:r>
      <w:r w:rsidRPr="00DD2418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) Descending orbit track 036 (d036); (</w:t>
      </w:r>
      <w:r w:rsidRPr="00DD2418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g-</w:t>
      </w:r>
      <w:proofErr w:type="spellStart"/>
      <w:r w:rsidRPr="00DD2418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i</w:t>
      </w:r>
      <w:proofErr w:type="spellEnd"/>
      <w:r w:rsidRPr="00DD2418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) Descending orbit track 109 (d109); (</w:t>
      </w:r>
      <w:r w:rsidRPr="00DD2418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j-l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) D</w:t>
      </w:r>
      <w:r w:rsidRPr="00DD2418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escending radarsat-2 data (drs2). The shaded circle is the surface projection of the sill-like source with its actual radius (about 2000 m). The chi-square for this model is 3.5.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436676" w:rsidTr="0094249D">
        <w:trPr>
          <w:jc w:val="center"/>
        </w:trPr>
        <w:tc>
          <w:tcPr>
            <w:tcW w:w="9060" w:type="dxa"/>
          </w:tcPr>
          <w:p w:rsidR="00436676" w:rsidRDefault="00436676" w:rsidP="0094249D">
            <w:pPr>
              <w:jc w:val="center"/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  <w:lang w:val="en-US" w:eastAsia="de-DE" w:bidi="en-US"/>
              </w:rPr>
            </w:pPr>
            <w:r w:rsidRPr="00F87D56">
              <w:rPr>
                <w:rFonts w:ascii="Palatino Linotype" w:eastAsia="Times New Roman" w:hAnsi="Palatino Linotype" w:cs="Times New Roman"/>
                <w:noProof/>
                <w:color w:val="000000"/>
                <w:sz w:val="18"/>
                <w:szCs w:val="20"/>
                <w:lang w:val="en-US" w:eastAsia="zh-CN"/>
              </w:rPr>
              <w:lastRenderedPageBreak/>
              <w:drawing>
                <wp:inline distT="0" distB="0" distL="0" distR="0">
                  <wp:extent cx="4498566" cy="6117375"/>
                  <wp:effectExtent l="19050" t="0" r="0" b="0"/>
                  <wp:docPr id="50" name="Picture 11" descr="Figure_S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gure_S1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8566" cy="611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6676" w:rsidRDefault="00436676" w:rsidP="00436676">
      <w:pPr>
        <w:pStyle w:val="p1"/>
        <w:spacing w:before="120" w:after="240" w:line="260" w:lineRule="atLeast"/>
        <w:ind w:left="425" w:right="425"/>
        <w:jc w:val="both"/>
        <w:rPr>
          <w:lang w:val="en-US"/>
        </w:rPr>
      </w:pPr>
      <w:r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Figure S</w:t>
      </w:r>
      <w:r w:rsidR="00F47493"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4</w:t>
      </w:r>
      <w:r w:rsidRPr="00AD162C"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.</w:t>
      </w:r>
      <w:r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 xml:space="preserve"> 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Comparison between subsampled data (first column) and modeled data (second column). The third column report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s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the residuals (observed data minus modeled data).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(</w:t>
      </w:r>
      <w:proofErr w:type="gramStart"/>
      <w:r w:rsidRPr="0037193C"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a-c</w:t>
      </w:r>
      <w:proofErr w:type="gramEnd"/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) 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Ascending orbit track 029 (a029);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(</w:t>
      </w:r>
      <w:r w:rsidRPr="0037193C"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d-f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) 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Descending orbit track 036 (d036); (</w:t>
      </w:r>
      <w:r w:rsidRPr="0037193C"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g-</w:t>
      </w:r>
      <w:proofErr w:type="spellStart"/>
      <w:r w:rsidRPr="0037193C"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i</w:t>
      </w:r>
      <w:proofErr w:type="spellEnd"/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) Descending</w:t>
      </w:r>
      <w:r w:rsidR="00E25270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orbit track 109 (d109); (</w:t>
      </w:r>
      <w:r w:rsidR="00E25270" w:rsidRPr="00E25270"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j-l</w:t>
      </w:r>
      <w:r w:rsidR="00E25270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) D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escending 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radarsat-2 data (drs2). The star is the center of the </w:t>
      </w:r>
      <w:proofErr w:type="spellStart"/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Kameni</w:t>
      </w:r>
      <w:proofErr w:type="spellEnd"/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source, the shaded circle is the surface projection of the sill-like source with its actual radius.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436676" w:rsidTr="0094249D">
        <w:trPr>
          <w:jc w:val="center"/>
        </w:trPr>
        <w:tc>
          <w:tcPr>
            <w:tcW w:w="9060" w:type="dxa"/>
          </w:tcPr>
          <w:p w:rsidR="00436676" w:rsidRDefault="00436676" w:rsidP="0094249D">
            <w:pPr>
              <w:jc w:val="center"/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  <w:lang w:val="en-US" w:eastAsia="de-DE" w:bidi="en-US"/>
              </w:rPr>
            </w:pPr>
            <w:r w:rsidRPr="00F87D56">
              <w:rPr>
                <w:rFonts w:ascii="Palatino Linotype" w:eastAsia="Times New Roman" w:hAnsi="Palatino Linotype" w:cs="Times New Roman"/>
                <w:noProof/>
                <w:color w:val="000000"/>
                <w:sz w:val="18"/>
                <w:szCs w:val="20"/>
                <w:lang w:val="en-US" w:eastAsia="zh-CN"/>
              </w:rPr>
              <w:lastRenderedPageBreak/>
              <w:drawing>
                <wp:inline distT="0" distB="0" distL="0" distR="0">
                  <wp:extent cx="2904550" cy="3600000"/>
                  <wp:effectExtent l="19050" t="0" r="0" b="0"/>
                  <wp:docPr id="51" name="Picture 18" descr="Figure_S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gure_S2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550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6676" w:rsidRDefault="00436676" w:rsidP="00436676">
      <w:pPr>
        <w:pStyle w:val="p1"/>
        <w:spacing w:before="120" w:after="240" w:line="260" w:lineRule="atLeast"/>
        <w:ind w:left="425" w:right="425"/>
        <w:jc w:val="both"/>
        <w:rPr>
          <w:lang w:val="en-US"/>
        </w:rPr>
      </w:pPr>
      <w:r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Figure S</w:t>
      </w:r>
      <w:r w:rsidR="00F47493"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5</w:t>
      </w:r>
      <w:r w:rsidRPr="00AD162C"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>.</w:t>
      </w:r>
      <w:r>
        <w:rPr>
          <w:rFonts w:ascii="Palatino Linotype" w:eastAsia="Times New Roman" w:hAnsi="Palatino Linotype"/>
          <w:b/>
          <w:color w:val="000000"/>
          <w:sz w:val="18"/>
          <w:lang w:val="en-US" w:eastAsia="de-DE" w:bidi="en-US"/>
        </w:rPr>
        <w:t xml:space="preserve"> 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Posterior Probability Density (PPD) functions retrieved by the non-linear joint inversion of the two sources. 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(</w:t>
      </w:r>
      <w:proofErr w:type="gramStart"/>
      <w:r w:rsidRPr="00681D0F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a-b</w:t>
      </w:r>
      <w:proofErr w:type="gramEnd"/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) Coordinates of the </w:t>
      </w:r>
      <w:proofErr w:type="spellStart"/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cen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tre</w:t>
      </w:r>
      <w:proofErr w:type="spellEnd"/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of the sill-like source (S), (</w:t>
      </w:r>
      <w:r w:rsidRPr="00681D0F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c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) its depth, (</w:t>
      </w:r>
      <w:r w:rsidRPr="00681D0F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d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) radius,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(</w:t>
      </w:r>
      <w:r w:rsidRPr="00681D0F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e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) potency, i.e., overpressure </w:t>
      </w:r>
      <w:r w:rsidRPr="00681D0F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Δ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P vs rigidity </w:t>
      </w:r>
      <w:r w:rsidRPr="00681D0F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μ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;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(</w:t>
      </w:r>
      <w:r w:rsidRPr="00681D0F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f-g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) Coordinates of the spherical source (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Mogi source, M),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(</w:t>
      </w:r>
      <w:r w:rsidRPr="00681D0F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h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) its depth,</w:t>
      </w:r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 xml:space="preserve"> </w:t>
      </w:r>
      <w:r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(</w:t>
      </w:r>
      <w:proofErr w:type="spellStart"/>
      <w:r w:rsidRPr="00681D0F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i</w:t>
      </w:r>
      <w:proofErr w:type="spellEnd"/>
      <w:r w:rsidRPr="00053D11">
        <w:rPr>
          <w:rFonts w:ascii="Palatino Linotype" w:eastAsia="Times New Roman" w:hAnsi="Palatino Linotype"/>
          <w:color w:val="000000"/>
          <w:sz w:val="18"/>
          <w:lang w:val="en-US" w:eastAsia="de-DE" w:bidi="en-US"/>
        </w:rPr>
        <w:t>) its volume variation. Easting and Northing are in UTM-WGS84 projection, zone 35. The dashed line is the mean model.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436676" w:rsidTr="0094249D">
        <w:trPr>
          <w:jc w:val="center"/>
        </w:trPr>
        <w:tc>
          <w:tcPr>
            <w:tcW w:w="9060" w:type="dxa"/>
          </w:tcPr>
          <w:p w:rsidR="00436676" w:rsidRDefault="00436676" w:rsidP="0094249D">
            <w:pPr>
              <w:jc w:val="center"/>
              <w:rPr>
                <w:rFonts w:ascii="Palatino Linotype" w:eastAsia="Times New Roman" w:hAnsi="Palatino Linotype" w:cs="Times New Roman"/>
                <w:color w:val="000000"/>
                <w:sz w:val="18"/>
                <w:szCs w:val="20"/>
                <w:lang w:val="en-US" w:eastAsia="de-DE" w:bidi="en-US"/>
              </w:rPr>
            </w:pPr>
            <w:r w:rsidRPr="00B24BC3">
              <w:rPr>
                <w:rFonts w:ascii="Palatino Linotype" w:eastAsia="Times New Roman" w:hAnsi="Palatino Linotype" w:cs="Times New Roman"/>
                <w:noProof/>
                <w:color w:val="000000"/>
                <w:sz w:val="18"/>
                <w:szCs w:val="20"/>
                <w:lang w:val="en-US" w:eastAsia="zh-CN"/>
              </w:rPr>
              <w:lastRenderedPageBreak/>
              <w:drawing>
                <wp:inline distT="0" distB="0" distL="0" distR="0">
                  <wp:extent cx="4106755" cy="5760000"/>
                  <wp:effectExtent l="19050" t="0" r="8045" b="0"/>
                  <wp:docPr id="52" name="Picture 13" descr="Figure_S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gure_S3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6755" cy="57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6676" w:rsidRPr="00053D11" w:rsidRDefault="00436676" w:rsidP="00436676">
      <w:pPr>
        <w:spacing w:before="120" w:after="240" w:line="260" w:lineRule="atLeast"/>
        <w:ind w:left="425" w:right="425"/>
        <w:jc w:val="both"/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</w:pP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Figure S</w:t>
      </w:r>
      <w:r w:rsidR="00F47493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6</w:t>
      </w:r>
      <w:r w:rsidRPr="00AD162C"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>.</w:t>
      </w:r>
      <w:r>
        <w:rPr>
          <w:rFonts w:ascii="Palatino Linotype" w:eastAsia="Times New Roman" w:hAnsi="Palatino Linotype" w:cs="Times New Roman"/>
          <w:b/>
          <w:color w:val="000000"/>
          <w:sz w:val="18"/>
          <w:szCs w:val="20"/>
          <w:lang w:val="en-US" w:eastAsia="de-DE" w:bidi="en-US"/>
        </w:rPr>
        <w:t xml:space="preserve"> </w:t>
      </w:r>
      <w:r w:rsidRPr="00053D11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Two-dimensional PPD distributions. Each panel represents the 2D distribution of the inverted parameters. Contour lines every 10% confidence. The </w:t>
      </w:r>
      <w:proofErr w:type="gramStart"/>
      <w:r w:rsidRPr="00053D11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red cross</w:t>
      </w:r>
      <w:proofErr w:type="gramEnd"/>
      <w:r w:rsidRPr="00053D11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is the mean model listed in </w:t>
      </w:r>
      <w:r w:rsidRPr="00307170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Table 3</w:t>
      </w:r>
      <w:r w:rsidRPr="00053D11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. Each panel report</w:t>
      </w:r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s</w:t>
      </w:r>
      <w:r w:rsidRPr="00053D11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the numbering of two parameters for which the 2D-distribution is computed, considering the exact order as reported in </w:t>
      </w:r>
      <w:r w:rsidR="008C646C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Figure S5</w:t>
      </w:r>
      <w:bookmarkStart w:id="0" w:name="_GoBack"/>
      <w:bookmarkEnd w:id="0"/>
      <w:r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 and </w:t>
      </w:r>
      <w:r w:rsidRPr="00307170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Table 3</w:t>
      </w:r>
      <w:r w:rsidRPr="00053D11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, i.e., </w:t>
      </w:r>
      <w:r w:rsidRPr="004D23A0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 xml:space="preserve">a)=1, b)=2, c)=3, d)=4, e)=5, f)=6, g)=7, h)=8, </w:t>
      </w:r>
      <w:proofErr w:type="spellStart"/>
      <w:r w:rsidRPr="004D23A0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i</w:t>
      </w:r>
      <w:proofErr w:type="spellEnd"/>
      <w:r w:rsidRPr="004D23A0">
        <w:rPr>
          <w:rFonts w:ascii="Palatino Linotype" w:eastAsia="Times New Roman" w:hAnsi="Palatino Linotype" w:cs="Times New Roman"/>
          <w:color w:val="000000"/>
          <w:sz w:val="18"/>
          <w:szCs w:val="20"/>
          <w:lang w:val="en-US" w:eastAsia="de-DE" w:bidi="en-US"/>
        </w:rPr>
        <w:t>)=9.</w:t>
      </w:r>
    </w:p>
    <w:sectPr w:rsidR="00436676" w:rsidRPr="00053D11" w:rsidSect="00572160">
      <w:pgSz w:w="11906" w:h="16838"/>
      <w:pgMar w:top="1418" w:right="1531" w:bottom="1077" w:left="153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Corbel"/>
    <w:charset w:val="00"/>
    <w:family w:val="auto"/>
    <w:pitch w:val="variable"/>
    <w:sig w:usb0="00000001" w:usb1="5000204B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8179BC"/>
    <w:rsid w:val="000021DF"/>
    <w:rsid w:val="00007F77"/>
    <w:rsid w:val="00012C69"/>
    <w:rsid w:val="00017890"/>
    <w:rsid w:val="0002296A"/>
    <w:rsid w:val="00051DED"/>
    <w:rsid w:val="00053D11"/>
    <w:rsid w:val="000651BE"/>
    <w:rsid w:val="00070FE7"/>
    <w:rsid w:val="000A236F"/>
    <w:rsid w:val="000C1CD8"/>
    <w:rsid w:val="000D0765"/>
    <w:rsid w:val="000F0000"/>
    <w:rsid w:val="001022C9"/>
    <w:rsid w:val="00107F4E"/>
    <w:rsid w:val="00122CC7"/>
    <w:rsid w:val="001254BE"/>
    <w:rsid w:val="00131C69"/>
    <w:rsid w:val="001647FD"/>
    <w:rsid w:val="00190FFB"/>
    <w:rsid w:val="001A3062"/>
    <w:rsid w:val="001C54DF"/>
    <w:rsid w:val="001F68C1"/>
    <w:rsid w:val="00223AF2"/>
    <w:rsid w:val="00252E29"/>
    <w:rsid w:val="00290CE1"/>
    <w:rsid w:val="00292211"/>
    <w:rsid w:val="0029771B"/>
    <w:rsid w:val="002A62ED"/>
    <w:rsid w:val="00307170"/>
    <w:rsid w:val="003079EE"/>
    <w:rsid w:val="003445C0"/>
    <w:rsid w:val="0037193C"/>
    <w:rsid w:val="003757F3"/>
    <w:rsid w:val="0038429B"/>
    <w:rsid w:val="003C5654"/>
    <w:rsid w:val="003D16D9"/>
    <w:rsid w:val="003E4381"/>
    <w:rsid w:val="003E4AD5"/>
    <w:rsid w:val="004226AD"/>
    <w:rsid w:val="00436676"/>
    <w:rsid w:val="004549F7"/>
    <w:rsid w:val="004779DF"/>
    <w:rsid w:val="004C50C5"/>
    <w:rsid w:val="00510B7A"/>
    <w:rsid w:val="005218AC"/>
    <w:rsid w:val="00524B73"/>
    <w:rsid w:val="005253AC"/>
    <w:rsid w:val="00526C6B"/>
    <w:rsid w:val="00557D60"/>
    <w:rsid w:val="00572160"/>
    <w:rsid w:val="00576616"/>
    <w:rsid w:val="005A79F5"/>
    <w:rsid w:val="005B4CB8"/>
    <w:rsid w:val="005C2789"/>
    <w:rsid w:val="005E37E9"/>
    <w:rsid w:val="005F0CCE"/>
    <w:rsid w:val="005F53E4"/>
    <w:rsid w:val="005F6AD9"/>
    <w:rsid w:val="005F7AC9"/>
    <w:rsid w:val="00602E78"/>
    <w:rsid w:val="00626A29"/>
    <w:rsid w:val="006530D9"/>
    <w:rsid w:val="00681D0F"/>
    <w:rsid w:val="006A3176"/>
    <w:rsid w:val="006F3DB2"/>
    <w:rsid w:val="0072563C"/>
    <w:rsid w:val="0072793F"/>
    <w:rsid w:val="00742093"/>
    <w:rsid w:val="007652D5"/>
    <w:rsid w:val="007B06C7"/>
    <w:rsid w:val="007E0AA3"/>
    <w:rsid w:val="007E78C0"/>
    <w:rsid w:val="007E7F29"/>
    <w:rsid w:val="00801DF9"/>
    <w:rsid w:val="008179BC"/>
    <w:rsid w:val="00820A12"/>
    <w:rsid w:val="008217AF"/>
    <w:rsid w:val="00857586"/>
    <w:rsid w:val="00867173"/>
    <w:rsid w:val="00876295"/>
    <w:rsid w:val="00882C03"/>
    <w:rsid w:val="00883292"/>
    <w:rsid w:val="0089439C"/>
    <w:rsid w:val="008944AA"/>
    <w:rsid w:val="008A4925"/>
    <w:rsid w:val="008A7369"/>
    <w:rsid w:val="008C646C"/>
    <w:rsid w:val="00912DCB"/>
    <w:rsid w:val="009136C7"/>
    <w:rsid w:val="00917F17"/>
    <w:rsid w:val="009473F2"/>
    <w:rsid w:val="00952F46"/>
    <w:rsid w:val="0095344E"/>
    <w:rsid w:val="009764F0"/>
    <w:rsid w:val="009A317B"/>
    <w:rsid w:val="009A7338"/>
    <w:rsid w:val="009B4E70"/>
    <w:rsid w:val="009C0A70"/>
    <w:rsid w:val="009C7BEB"/>
    <w:rsid w:val="009E37B0"/>
    <w:rsid w:val="00A14D04"/>
    <w:rsid w:val="00A27745"/>
    <w:rsid w:val="00A33F4F"/>
    <w:rsid w:val="00A37AD9"/>
    <w:rsid w:val="00A42B8C"/>
    <w:rsid w:val="00A52727"/>
    <w:rsid w:val="00A56B94"/>
    <w:rsid w:val="00AC3000"/>
    <w:rsid w:val="00AD162C"/>
    <w:rsid w:val="00AE18E0"/>
    <w:rsid w:val="00AF2881"/>
    <w:rsid w:val="00AF3F05"/>
    <w:rsid w:val="00B11BB9"/>
    <w:rsid w:val="00B358D5"/>
    <w:rsid w:val="00B61011"/>
    <w:rsid w:val="00B64E95"/>
    <w:rsid w:val="00B7588F"/>
    <w:rsid w:val="00BA694F"/>
    <w:rsid w:val="00BA6CA0"/>
    <w:rsid w:val="00BE103B"/>
    <w:rsid w:val="00BF60DB"/>
    <w:rsid w:val="00C227F5"/>
    <w:rsid w:val="00C22FDE"/>
    <w:rsid w:val="00C54E46"/>
    <w:rsid w:val="00C630C8"/>
    <w:rsid w:val="00C918B6"/>
    <w:rsid w:val="00CA1800"/>
    <w:rsid w:val="00CA31CB"/>
    <w:rsid w:val="00CA5322"/>
    <w:rsid w:val="00CD690F"/>
    <w:rsid w:val="00CF57F7"/>
    <w:rsid w:val="00D05A61"/>
    <w:rsid w:val="00D31804"/>
    <w:rsid w:val="00D52C29"/>
    <w:rsid w:val="00D870AE"/>
    <w:rsid w:val="00DA1C5F"/>
    <w:rsid w:val="00DA7FC8"/>
    <w:rsid w:val="00DD2418"/>
    <w:rsid w:val="00DE0C39"/>
    <w:rsid w:val="00DE26CC"/>
    <w:rsid w:val="00DF0A5C"/>
    <w:rsid w:val="00DF0C61"/>
    <w:rsid w:val="00E2291A"/>
    <w:rsid w:val="00E25270"/>
    <w:rsid w:val="00E360C2"/>
    <w:rsid w:val="00E43814"/>
    <w:rsid w:val="00E4504E"/>
    <w:rsid w:val="00E50D13"/>
    <w:rsid w:val="00E53D24"/>
    <w:rsid w:val="00EC3660"/>
    <w:rsid w:val="00EE0114"/>
    <w:rsid w:val="00F17872"/>
    <w:rsid w:val="00F33532"/>
    <w:rsid w:val="00F42DFA"/>
    <w:rsid w:val="00F47493"/>
    <w:rsid w:val="00F6138D"/>
    <w:rsid w:val="00F65DCC"/>
    <w:rsid w:val="00F73983"/>
    <w:rsid w:val="00F76DC5"/>
    <w:rsid w:val="00F842F8"/>
    <w:rsid w:val="00FA2ACF"/>
    <w:rsid w:val="00FE0056"/>
    <w:rsid w:val="00FE60C7"/>
    <w:rsid w:val="00FF3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F72FB9C-D3F1-488D-95D4-2317C898F5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218A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179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79B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51DE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3757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757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757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57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757F3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AF3F05"/>
    <w:pPr>
      <w:ind w:left="720"/>
      <w:contextualSpacing/>
    </w:pPr>
  </w:style>
  <w:style w:type="paragraph" w:customStyle="1" w:styleId="p1">
    <w:name w:val="p1"/>
    <w:basedOn w:val="Normal"/>
    <w:rsid w:val="00053D11"/>
    <w:pPr>
      <w:spacing w:after="0" w:line="240" w:lineRule="auto"/>
    </w:pPr>
    <w:rPr>
      <w:rFonts w:ascii="Myriad Pro" w:hAnsi="Myriad Pro" w:cs="Times New Roman"/>
      <w:sz w:val="20"/>
      <w:szCs w:val="20"/>
      <w:lang w:val="it-IT" w:eastAsia="it-IT"/>
    </w:rPr>
  </w:style>
  <w:style w:type="paragraph" w:customStyle="1" w:styleId="MDPI11articletype">
    <w:name w:val="MDPI_1.1_article_type"/>
    <w:basedOn w:val="Normal"/>
    <w:next w:val="MDPI12title"/>
    <w:qFormat/>
    <w:rsid w:val="009A7338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val="en-US" w:eastAsia="de-DE" w:bidi="en-US"/>
    </w:rPr>
  </w:style>
  <w:style w:type="paragraph" w:customStyle="1" w:styleId="MDPI12title">
    <w:name w:val="MDPI_1.2_title"/>
    <w:next w:val="MDPI13authornames"/>
    <w:qFormat/>
    <w:rsid w:val="009A7338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basedOn w:val="Normal"/>
    <w:next w:val="MDPI14history"/>
    <w:qFormat/>
    <w:rsid w:val="009A7338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4history">
    <w:name w:val="MDPI_1.4_history"/>
    <w:basedOn w:val="Normal"/>
    <w:next w:val="Normal"/>
    <w:qFormat/>
    <w:rsid w:val="009A7338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Normal"/>
    <w:qFormat/>
    <w:rsid w:val="009A7338"/>
    <w:pPr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  <w:style w:type="paragraph" w:customStyle="1" w:styleId="MDPI17abstract">
    <w:name w:val="MDPI_1.7_abstract"/>
    <w:basedOn w:val="Normal"/>
    <w:next w:val="MDPI18keywords"/>
    <w:qFormat/>
    <w:rsid w:val="009A7338"/>
    <w:pPr>
      <w:adjustRightInd w:val="0"/>
      <w:snapToGrid w:val="0"/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color w:val="000000"/>
      <w:sz w:val="20"/>
      <w:lang w:val="en-US" w:eastAsia="de-DE" w:bidi="en-US"/>
    </w:rPr>
  </w:style>
  <w:style w:type="paragraph" w:customStyle="1" w:styleId="MDPI18keywords">
    <w:name w:val="MDPI_1.8_keywords"/>
    <w:basedOn w:val="Normal"/>
    <w:next w:val="Normal"/>
    <w:qFormat/>
    <w:rsid w:val="009A7338"/>
    <w:pPr>
      <w:adjustRightInd w:val="0"/>
      <w:snapToGrid w:val="0"/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character" w:styleId="Hyperlink">
    <w:name w:val="Hyperlink"/>
    <w:uiPriority w:val="99"/>
    <w:unhideWhenUsed/>
    <w:rsid w:val="009A7338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419E66-0BE0-4682-A086-D230F772A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1</Pages>
  <Words>685</Words>
  <Characters>4078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4745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 Inc.</dc:creator>
  <cp:lastModifiedBy>mdpi</cp:lastModifiedBy>
  <cp:revision>51</cp:revision>
  <cp:lastPrinted>2018-11-29T11:44:00Z</cp:lastPrinted>
  <dcterms:created xsi:type="dcterms:W3CDTF">2018-12-15T19:39:00Z</dcterms:created>
  <dcterms:modified xsi:type="dcterms:W3CDTF">2019-02-13T10:30:00Z</dcterms:modified>
</cp:coreProperties>
</file>